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42C" w:rsidRPr="0096563D" w:rsidRDefault="005A242C" w:rsidP="005A242C">
      <w:pPr>
        <w:jc w:val="center"/>
        <w:rPr>
          <w:rFonts w:ascii="Times New Roman" w:hAnsi="Times New Roman" w:cs="Times New Roman"/>
        </w:rPr>
      </w:pPr>
      <w:r w:rsidRPr="0096563D">
        <w:rPr>
          <w:rFonts w:ascii="Times New Roman" w:hAnsi="Times New Roman" w:cs="Times New Roman"/>
        </w:rPr>
        <w:t>Итоги оценки результативности предоставления субсидий в 2016 году бюджетом муниципальных районов и городских округов Ставропольского края на проведение работ по замене оконных блоков в муниципальных образовательных организациях Ставропольского края</w:t>
      </w:r>
    </w:p>
    <w:p w:rsidR="005A242C" w:rsidRPr="00BC3D90" w:rsidRDefault="005A242C" w:rsidP="005A242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3836"/>
        <w:tblW w:w="9493" w:type="dxa"/>
        <w:tblLayout w:type="fixed"/>
        <w:tblLook w:val="04A0" w:firstRow="1" w:lastRow="0" w:firstColumn="1" w:lastColumn="0" w:noHBand="0" w:noVBand="1"/>
      </w:tblPr>
      <w:tblGrid>
        <w:gridCol w:w="521"/>
        <w:gridCol w:w="2451"/>
        <w:gridCol w:w="3699"/>
        <w:gridCol w:w="2822"/>
      </w:tblGrid>
      <w:tr w:rsidR="005A242C" w:rsidRPr="0096563D" w:rsidTr="00EB7493">
        <w:trPr>
          <w:trHeight w:val="1555"/>
        </w:trPr>
        <w:tc>
          <w:tcPr>
            <w:tcW w:w="521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</w:tcPr>
          <w:p w:rsidR="005A242C" w:rsidRPr="0096563D" w:rsidRDefault="005A242C" w:rsidP="00EB7493">
            <w:pPr>
              <w:jc w:val="center"/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Наименование муниципального района ( городского округа)Ставропольского края</w:t>
            </w: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Наименование целевого показателя результативности исполнения субсидии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Информация о выполнении(не выполнении) целевого показателя результативности использования субсидии</w:t>
            </w:r>
          </w:p>
        </w:tc>
      </w:tr>
      <w:tr w:rsidR="005A242C" w:rsidRPr="0096563D" w:rsidTr="00EB7493">
        <w:trPr>
          <w:trHeight w:val="305"/>
        </w:trPr>
        <w:tc>
          <w:tcPr>
            <w:tcW w:w="52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5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 xml:space="preserve">Александровский муниципальный район </w:t>
            </w: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Доля заменяемых оконных блоков в общем количестве оконных блоков, требующих замены в образовательных организациях(%)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284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Увеличение доли образовательных организаций со стопроцентной заменой оконных блоков, требующих замены в образовательных организациях (%)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406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Соблюдение сроков выполнения работ по замене оконных блоков в образовательных организациях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305"/>
        </w:trPr>
        <w:tc>
          <w:tcPr>
            <w:tcW w:w="52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5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Андроповский район муниципальный район</w:t>
            </w: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Доля заменяемых оконных блоков в общем количестве оконных блоков, требующих замены в образовательных организациях(%)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97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Увеличение доли образовательных организаций со стопроцентной заменой оконных блоков, требующих замены в образовательных организациях (%)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162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Соблюдение сроков выполнения работ по замене оконных блоков в образовательных организациях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234"/>
        </w:trPr>
        <w:tc>
          <w:tcPr>
            <w:tcW w:w="52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5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Апанасенковкий муниципальный район</w:t>
            </w: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Доля заменяемых оконных блоков в общем количестве оконных блоков, требующих замены в образовательных организациях(%)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193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Увеличение доли образовательных организаций со стопроцентной заменой оконных блоков, требующих замены в образовательных организациях (%)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112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Соблюдение сроков выполнения работ по замене оконных блоков в образовательных организациях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243"/>
        </w:trPr>
        <w:tc>
          <w:tcPr>
            <w:tcW w:w="52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5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Арзгирсский муниципальный район</w:t>
            </w: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Доля заменяемых оконных блоков в общем количестве оконных блоков, требующих замены в образовательных организациях(%)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162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Увеличение доли образовательных организаций со стопроцентной заменой оконных блоков, требующих замены в образовательных организациях (%)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122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Соблюдение сроков выполнения работ по замене оконных блоков в образовательных организациях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213"/>
        </w:trPr>
        <w:tc>
          <w:tcPr>
            <w:tcW w:w="52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5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  <w:r w:rsidRPr="0096563D">
              <w:rPr>
                <w:rFonts w:ascii="Times New Roman" w:hAnsi="Times New Roman" w:cs="Times New Roman"/>
                <w:color w:val="000000"/>
              </w:rPr>
              <w:t>Благодарненский городской округ</w:t>
            </w:r>
          </w:p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Доля заменяемых оконных блоков в общем количестве оконных блоков, требующих замены в образовательных организациях(%)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244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Увеличение доли образовательных организаций со стопроцентной заменой оконных блоков, требующих замены в образовательных организациях (%)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284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Соблюдение сроков выполнения работ по замене оконных блоков в образовательных организациях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263"/>
        </w:trPr>
        <w:tc>
          <w:tcPr>
            <w:tcW w:w="52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5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  <w:r w:rsidRPr="0096563D">
              <w:rPr>
                <w:rFonts w:ascii="Times New Roman" w:hAnsi="Times New Roman" w:cs="Times New Roman"/>
                <w:color w:val="000000"/>
              </w:rPr>
              <w:t>Буденновский муниципальный район</w:t>
            </w:r>
          </w:p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Доля заменяемых оконных блоков в общем количестве оконных блоков, требующих замены в образовательных организациях(%)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213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Увеличение доли образовательных организаций со стопроцентной заменой оконных блоков, требующих замены в образовательных организациях (%)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264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Соблюдение сроков выполнения работ по замене оконных блоков в образовательных организациях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284"/>
        </w:trPr>
        <w:tc>
          <w:tcPr>
            <w:tcW w:w="52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5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  <w:r w:rsidRPr="0096563D">
              <w:rPr>
                <w:rFonts w:ascii="Times New Roman" w:hAnsi="Times New Roman" w:cs="Times New Roman"/>
                <w:color w:val="000000"/>
              </w:rPr>
              <w:t>Георгиевский городской округ</w:t>
            </w:r>
          </w:p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Доля заменяемых оконных блоков в общем количестве оконных блоков, требующих замены в образовательных организациях(%)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274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Увеличение доли образовательных организаций со стопроцентной заменой оконных блоков, требующих замены в образовательных организациях (%)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193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Соблюдение сроков выполнения работ по замене оконных блоков в образовательных организациях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193"/>
        </w:trPr>
        <w:tc>
          <w:tcPr>
            <w:tcW w:w="52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5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  <w:r w:rsidRPr="0096563D">
              <w:rPr>
                <w:rFonts w:ascii="Times New Roman" w:hAnsi="Times New Roman" w:cs="Times New Roman"/>
                <w:color w:val="000000"/>
              </w:rPr>
              <w:t>Грачевский муниципальный район</w:t>
            </w:r>
          </w:p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Доля заменяемых оконных блоков в общем количестве оконных блоков, требующих замены в образовательных организациях(%)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254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Увеличение доли образовательных организаций со стопроцентной заменой оконных блоков, требующих замены в образовательных организациях (%)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304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Соблюдение сроков выполнения работ по замене оконных блоков в образовательных организациях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294"/>
        </w:trPr>
        <w:tc>
          <w:tcPr>
            <w:tcW w:w="52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45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  <w:r w:rsidRPr="0096563D">
              <w:rPr>
                <w:rFonts w:ascii="Times New Roman" w:hAnsi="Times New Roman" w:cs="Times New Roman"/>
                <w:color w:val="000000"/>
              </w:rPr>
              <w:t>Изобильненский городской округ</w:t>
            </w:r>
          </w:p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Доля заменяемых оконных блоков в общем количестве оконных блоков, требующих замены в образовательных организациях(%)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203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Увеличение доли образовательных организаций со стопроцентной заменой оконных блоков, требующих замены в образовательных организациях (%)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243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Соблюдение сроков выполнения работ по замене оконных блоков в образовательных организациях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254"/>
        </w:trPr>
        <w:tc>
          <w:tcPr>
            <w:tcW w:w="52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45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  <w:r w:rsidRPr="0096563D">
              <w:rPr>
                <w:rFonts w:ascii="Times New Roman" w:hAnsi="Times New Roman" w:cs="Times New Roman"/>
                <w:color w:val="000000"/>
              </w:rPr>
              <w:t>Ипатовский городской округ</w:t>
            </w:r>
          </w:p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Доля заменяемых оконных блоков в общем количестве оконных блоков, требующих замены в образовательных организациях(%)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87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Увеличение доли образовательных организаций со стопроцентной заменой оконных блоков, требующих замены в образовательных организациях (%)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172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Соблюдение сроков выполнения работ по замене оконных блоков в образовательных организациях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253"/>
        </w:trPr>
        <w:tc>
          <w:tcPr>
            <w:tcW w:w="52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45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  <w:r w:rsidRPr="0096563D">
              <w:rPr>
                <w:rFonts w:ascii="Times New Roman" w:hAnsi="Times New Roman" w:cs="Times New Roman"/>
                <w:color w:val="000000"/>
              </w:rPr>
              <w:t>Кировский городской округ</w:t>
            </w:r>
          </w:p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Доля заменяемых оконных блоков в общем количестве оконных блоков, требующих замены в образовательных организациях(%)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193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Увеличение доли образовательных организаций со стопроцентной заменой оконных блоков, требующих замены в образовательных организациях (%)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71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Соблюдение сроков выполнения работ по замене оконных блоков в образовательных организациях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153"/>
        </w:trPr>
        <w:tc>
          <w:tcPr>
            <w:tcW w:w="52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45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  <w:r w:rsidRPr="0096563D">
              <w:rPr>
                <w:rFonts w:ascii="Times New Roman" w:hAnsi="Times New Roman" w:cs="Times New Roman"/>
                <w:color w:val="000000"/>
              </w:rPr>
              <w:t>Кочубеевский муниципальный район</w:t>
            </w:r>
          </w:p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Доля заменяемых оконных блоков в общем количестве оконных блоков, требующих замены в образовательных организациях(%)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254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Увеличение доли образовательных организаций со стопроцентной заменой оконных блоков, требующих замены в образовательных организациях (%)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345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Соблюдение сроков выполнения работ по замене оконных блоков в образовательных организациях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234"/>
        </w:trPr>
        <w:tc>
          <w:tcPr>
            <w:tcW w:w="52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45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  <w:r w:rsidRPr="0096563D">
              <w:rPr>
                <w:rFonts w:ascii="Times New Roman" w:hAnsi="Times New Roman" w:cs="Times New Roman"/>
                <w:color w:val="000000"/>
              </w:rPr>
              <w:t>Красногвардейский муниципальный район</w:t>
            </w:r>
          </w:p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Доля заменяемых оконных блоков в общем количестве оконных блоков, требующих замены в образовательных организациях(%)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264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Увеличение доли образовательных организаций со стопроцентной заменой оконных блоков, требующих замены в образовательных организациях (%)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254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Соблюдение сроков выполнения работ по замене оконных блоков в образовательных организациях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223"/>
        </w:trPr>
        <w:tc>
          <w:tcPr>
            <w:tcW w:w="52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245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  <w:r w:rsidRPr="0096563D">
              <w:rPr>
                <w:rFonts w:ascii="Times New Roman" w:hAnsi="Times New Roman" w:cs="Times New Roman"/>
                <w:color w:val="000000"/>
              </w:rPr>
              <w:t>Курский муниципальный район</w:t>
            </w:r>
          </w:p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Доля заменяемых оконных блоков в общем количестве оконных блоков, требующих замены в образовательных организациях(%)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223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Увеличение доли образовательных организаций со стопроцентной заменой оконных блоков, требующих замены в образовательных организациях (%)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294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Соблюдение сроков выполнения работ по замене оконных блоков в образовательных организациях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253"/>
        </w:trPr>
        <w:tc>
          <w:tcPr>
            <w:tcW w:w="52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45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  <w:r w:rsidRPr="0096563D">
              <w:rPr>
                <w:rFonts w:ascii="Times New Roman" w:hAnsi="Times New Roman" w:cs="Times New Roman"/>
                <w:color w:val="000000"/>
              </w:rPr>
              <w:t>Левокумский муниципальный район</w:t>
            </w:r>
          </w:p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Доля заменяемых оконных блоков в общем количестве оконных блоков, требующих замены в образовательных организациях(%)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142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Увеличение доли образовательных организаций со стопроцентной заменой оконных блоков, требующих замены в образовательных организациях (%)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345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Соблюдение сроков выполнения работ по замене оконных блоков в образовательных организациях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233"/>
        </w:trPr>
        <w:tc>
          <w:tcPr>
            <w:tcW w:w="52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45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  <w:r w:rsidRPr="0096563D">
              <w:rPr>
                <w:rFonts w:ascii="Times New Roman" w:hAnsi="Times New Roman" w:cs="Times New Roman"/>
                <w:color w:val="000000"/>
              </w:rPr>
              <w:t>Минераловодский городской округ</w:t>
            </w:r>
          </w:p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Доля заменяемых оконных блоков в общем количестве оконных блоков, требующих замены в образовательных организациях(%)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223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Увеличение доли образовательных организаций со стопроцентной заменой оконных блоков, требующих замены в образовательных организациях (%)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284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Соблюдение сроков выполнения работ по замене оконных блоков в образовательных организациях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223"/>
        </w:trPr>
        <w:tc>
          <w:tcPr>
            <w:tcW w:w="52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45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  <w:r w:rsidRPr="0096563D">
              <w:rPr>
                <w:rFonts w:ascii="Times New Roman" w:hAnsi="Times New Roman" w:cs="Times New Roman"/>
                <w:color w:val="000000"/>
              </w:rPr>
              <w:t>Нефтекумский городской округ</w:t>
            </w:r>
          </w:p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Доля заменяемых оконных блоков в общем количестве оконных блоков, требующих замены в образовательных организациях(%)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203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Увеличение доли образовательных организаций со стопроцентной заменой оконных блоков, требующих замены в образовательных организациях (%)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314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Соблюдение сроков выполнения работ по замене оконных блоков в образовательных организациях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345"/>
        </w:trPr>
        <w:tc>
          <w:tcPr>
            <w:tcW w:w="52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45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  <w:r w:rsidRPr="0096563D">
              <w:rPr>
                <w:rFonts w:ascii="Times New Roman" w:hAnsi="Times New Roman" w:cs="Times New Roman"/>
                <w:color w:val="000000"/>
              </w:rPr>
              <w:t>Новоалександровский городской округ</w:t>
            </w:r>
          </w:p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Доля заменяемых оконных блоков в общем количестве оконных блоков, требующих замены в образовательных организациях(%)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203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Увеличение доли образовательных организаций со стопроцентной заменой оконных блоков, требующих замены в образовательных организациях (%)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203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Соблюдение сроков выполнения работ по замене оконных блоков в образовательных организациях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284"/>
        </w:trPr>
        <w:tc>
          <w:tcPr>
            <w:tcW w:w="52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45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  <w:r w:rsidRPr="0096563D">
              <w:rPr>
                <w:rFonts w:ascii="Times New Roman" w:hAnsi="Times New Roman" w:cs="Times New Roman"/>
                <w:color w:val="000000"/>
              </w:rPr>
              <w:t>Новоселицкий муниципальный район</w:t>
            </w:r>
          </w:p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Доля заменяемых оконных блоков в общем количестве оконных блоков, требующих замены в образовательных организациях(%)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193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Увеличение доли образовательных организаций со стопроцентной заменой оконных блоков, требующих замены в образовательных организациях (%)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274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Соблюдение сроков выполнения работ по замене оконных блоков в образовательных организациях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182"/>
        </w:trPr>
        <w:tc>
          <w:tcPr>
            <w:tcW w:w="52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45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  <w:r w:rsidRPr="0096563D">
              <w:rPr>
                <w:rFonts w:ascii="Times New Roman" w:hAnsi="Times New Roman" w:cs="Times New Roman"/>
                <w:color w:val="000000"/>
              </w:rPr>
              <w:t>Петровский городской округ</w:t>
            </w:r>
          </w:p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Доля заменяемых оконных блоков в общем количестве оконных блоков, требующих замены в образовательных организациях(%)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132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Увеличение доли образовательных организаций со стопроцентной заменой оконных блоков, требующих замены в образовательных организациях (%)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183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Соблюдение сроков выполнения работ по замене оконных блоков в образовательных организациях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224"/>
        </w:trPr>
        <w:tc>
          <w:tcPr>
            <w:tcW w:w="52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45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  <w:r w:rsidRPr="0096563D">
              <w:rPr>
                <w:rFonts w:ascii="Times New Roman" w:hAnsi="Times New Roman" w:cs="Times New Roman"/>
                <w:color w:val="000000"/>
              </w:rPr>
              <w:t>Предгорный муниципальный район</w:t>
            </w:r>
          </w:p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Доля заменяемых оконных блоков в общем количестве оконных блоков, требующих замены в образовательных организациях(%)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173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Увеличение доли образовательных организаций со стопроцентной заменой оконных блоков, требующих замены в образовательных организациях (%)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355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Соблюдение сроков выполнения работ по замене оконных блоков в образовательных организациях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172"/>
        </w:trPr>
        <w:tc>
          <w:tcPr>
            <w:tcW w:w="52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45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  <w:r w:rsidRPr="0096563D">
              <w:rPr>
                <w:rFonts w:ascii="Times New Roman" w:hAnsi="Times New Roman" w:cs="Times New Roman"/>
                <w:color w:val="000000"/>
              </w:rPr>
              <w:t>Советский городской округ</w:t>
            </w:r>
          </w:p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Доля заменяемых оконных блоков в общем количестве оконных блоков, требующих замены в образовательных организациях(%)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173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Увеличение доли образовательных организаций со стопроцентной заменой оконных блоков, требующих замены в образовательных организациях (%)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162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Соблюдение сроков выполнения работ по замене оконных блоков в образовательных организациях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294"/>
        </w:trPr>
        <w:tc>
          <w:tcPr>
            <w:tcW w:w="52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lastRenderedPageBreak/>
              <w:t>23.</w:t>
            </w:r>
          </w:p>
        </w:tc>
        <w:tc>
          <w:tcPr>
            <w:tcW w:w="245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  <w:r w:rsidRPr="0096563D">
              <w:rPr>
                <w:rFonts w:ascii="Times New Roman" w:hAnsi="Times New Roman" w:cs="Times New Roman"/>
                <w:color w:val="000000"/>
              </w:rPr>
              <w:t>Степновский муниципальный район</w:t>
            </w:r>
          </w:p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Доля заменяемых оконных блоков в общем количестве оконных блоков, требующих замены в образовательных организациях(%)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223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Увеличение доли образовательных организаций со стопроцентной заменой оконных блоков, требующих замены в образовательных организациях (%)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223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Соблюдение сроков выполнения работ по замене оконных блоков в образовательных организациях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315"/>
        </w:trPr>
        <w:tc>
          <w:tcPr>
            <w:tcW w:w="52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45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  <w:r w:rsidRPr="0096563D">
              <w:rPr>
                <w:rFonts w:ascii="Times New Roman" w:hAnsi="Times New Roman" w:cs="Times New Roman"/>
                <w:color w:val="000000"/>
              </w:rPr>
              <w:t>Труновский муниципальный район</w:t>
            </w:r>
          </w:p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Доля заменяемых оконных блоков в общем количестве оконных блоков, требующих замены в образовательных организациях(%)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162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Увеличение доли образовательных организаций со стопроцентной заменой оконных блоков, требующих замены в образовательных организациях (%)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274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Соблюдение сроков выполнения работ по замене оконных блоков в образовательных организациях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224"/>
        </w:trPr>
        <w:tc>
          <w:tcPr>
            <w:tcW w:w="52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45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  <w:r w:rsidRPr="0096563D">
              <w:rPr>
                <w:rFonts w:ascii="Times New Roman" w:hAnsi="Times New Roman" w:cs="Times New Roman"/>
                <w:color w:val="000000"/>
              </w:rPr>
              <w:t>Туркменский муниципальный район</w:t>
            </w:r>
          </w:p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Доля заменяемых оконных блоков в общем количестве оконных блоков, требующих замены в образовательных организациях(%)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183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Увеличение доли образовательных организаций со стопроцентной заменой оконных блоков, требующих замены в образовательных организациях (%)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345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Соблюдение сроков выполнения работ по замене оконных блоков в образовательных организациях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183"/>
        </w:trPr>
        <w:tc>
          <w:tcPr>
            <w:tcW w:w="52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45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  <w:r w:rsidRPr="0096563D">
              <w:rPr>
                <w:rFonts w:ascii="Times New Roman" w:hAnsi="Times New Roman" w:cs="Times New Roman"/>
                <w:color w:val="000000"/>
              </w:rPr>
              <w:t>Шпаковский муниципальный район</w:t>
            </w:r>
          </w:p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Доля заменяемых оконных блоков в общем количестве оконных блоков, требующих замены в образовательных организациях(%)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264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Увеличение доли образовательных организаций со стопроцентной заменой оконных блоков, требующих замены в образовательных организациях (%)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304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Соблюдение сроков выполнения работ по замене оконных блоков в образовательных организациях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162"/>
        </w:trPr>
        <w:tc>
          <w:tcPr>
            <w:tcW w:w="52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45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Георгиевск</w:t>
            </w: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Доля заменяемых оконных блоков в общем количестве оконных блоков, требующих замены в образовательных организациях(%)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213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Увеличение доли образовательных организаций со стопроцентной заменой оконных блоков, требующих замены в образовательных организациях (%)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122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Соблюдение сроков выполнения работ по замене оконных блоков в образовательных организациях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233"/>
        </w:trPr>
        <w:tc>
          <w:tcPr>
            <w:tcW w:w="52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lastRenderedPageBreak/>
              <w:t>28.</w:t>
            </w:r>
          </w:p>
        </w:tc>
        <w:tc>
          <w:tcPr>
            <w:tcW w:w="245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  <w:r w:rsidRPr="0096563D">
              <w:rPr>
                <w:rFonts w:ascii="Times New Roman" w:hAnsi="Times New Roman" w:cs="Times New Roman"/>
                <w:color w:val="000000"/>
              </w:rPr>
              <w:t>г. Железноводск</w:t>
            </w:r>
          </w:p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Доля заменяемых оконных блоков в общем количестве оконных блоков, требующих замены в образовательных организациях(%)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152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Увеличение доли образовательных организаций со стопроцентной заменой оконных блоков, требующих замены в образовательных организациях (%)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122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Соблюдение сроков выполнения работ по замене оконных блоков в образовательных организациях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203"/>
        </w:trPr>
        <w:tc>
          <w:tcPr>
            <w:tcW w:w="52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45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  <w:r w:rsidRPr="0096563D">
              <w:rPr>
                <w:rFonts w:ascii="Times New Roman" w:hAnsi="Times New Roman" w:cs="Times New Roman"/>
                <w:color w:val="000000"/>
              </w:rPr>
              <w:t>г. Ессентуки</w:t>
            </w:r>
          </w:p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Доля заменяемых оконных блоков в общем количестве оконных блоков, требующих замены в образовательных организациях(%)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193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Увеличение доли образовательных организаций со стопроцентной заменой оконных блоков, требующих замены в образовательных организациях (%)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112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Соблюдение сроков выполнения работ по замене оконных блоков в образовательных организациях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182"/>
        </w:trPr>
        <w:tc>
          <w:tcPr>
            <w:tcW w:w="52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45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  <w:r w:rsidRPr="0096563D">
              <w:rPr>
                <w:rFonts w:ascii="Times New Roman" w:hAnsi="Times New Roman" w:cs="Times New Roman"/>
                <w:color w:val="000000"/>
              </w:rPr>
              <w:t>г. Кисловодск</w:t>
            </w:r>
          </w:p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Доля заменяемых оконных блоков в общем количестве оконных блоков, требующих замены в образовательных организациях(%)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193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Увеличение доли образовательных организаций со стопроцентной заменой оконных блоков, требующих замены в образовательных организациях (%)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122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Соблюдение сроков выполнения работ по замене оконных блоков в образовательных организациях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172"/>
        </w:trPr>
        <w:tc>
          <w:tcPr>
            <w:tcW w:w="52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45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  <w:r w:rsidRPr="0096563D">
              <w:rPr>
                <w:rFonts w:ascii="Times New Roman" w:hAnsi="Times New Roman" w:cs="Times New Roman"/>
                <w:color w:val="000000"/>
              </w:rPr>
              <w:t>г. Лермонтов</w:t>
            </w:r>
          </w:p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Доля заменяемых оконных блоков в общем количестве оконных блоков, требующих замены в образовательных организациях(%)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132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Увеличение доли образовательных организаций со стопроцентной заменой оконных блоков, требующих замены в образовательных организациях (%)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203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Соблюдение сроков выполнения работ по замене оконных блоков в образовательных организациях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243"/>
        </w:trPr>
        <w:tc>
          <w:tcPr>
            <w:tcW w:w="52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245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  <w:r w:rsidRPr="0096563D">
              <w:rPr>
                <w:rFonts w:ascii="Times New Roman" w:hAnsi="Times New Roman" w:cs="Times New Roman"/>
                <w:color w:val="000000"/>
              </w:rPr>
              <w:t>г. Невинномысск</w:t>
            </w:r>
          </w:p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Доля заменяемых оконных блоков в общем количестве оконных блоков, требующих замены в образовательных организациях(%)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91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Увеличение доли образовательных организаций со стопроцентной заменой оконных блоков, требующих замены в образовательных организациях (%)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172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Соблюдение сроков выполнения работ по замене оконных блоков в образовательных организациях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233"/>
        </w:trPr>
        <w:tc>
          <w:tcPr>
            <w:tcW w:w="52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45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  <w:r w:rsidRPr="0096563D">
              <w:rPr>
                <w:rFonts w:ascii="Times New Roman" w:hAnsi="Times New Roman" w:cs="Times New Roman"/>
                <w:color w:val="000000"/>
              </w:rPr>
              <w:t>г. Пятигорск</w:t>
            </w:r>
          </w:p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Доля заменяемых оконных блоков в общем количестве оконных блоков, требующих замены в образовательных организациях(%)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193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Увеличение доли образовательных организаций со стопроцентной заменой оконных блоков, требующих замены в образовательных организациях (%)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81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Соблюдение сроков выполнения работ по замене оконных блоков в образовательных организациях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162"/>
        </w:trPr>
        <w:tc>
          <w:tcPr>
            <w:tcW w:w="52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45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  <w:r w:rsidRPr="0096563D">
              <w:rPr>
                <w:rFonts w:ascii="Times New Roman" w:hAnsi="Times New Roman" w:cs="Times New Roman"/>
                <w:color w:val="000000"/>
              </w:rPr>
              <w:t>г. Ставрополь</w:t>
            </w:r>
          </w:p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Доля заменяемых оконных блоков в общем количестве оконных блоков, требующих замены в образовательных организациях(%)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162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Увеличение доли образовательных организаций со стопроцентной заменой оконных блоков, требующих замены в образовательных организациях (%)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183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Соблюдение сроков выполнения работ по замене оконных блоков в образовательных организациях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</w:tbl>
    <w:p w:rsidR="003305ED" w:rsidRDefault="005A242C">
      <w:bookmarkStart w:id="0" w:name="_GoBack"/>
      <w:bookmarkEnd w:id="0"/>
    </w:p>
    <w:sectPr w:rsidR="00330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BF4"/>
    <w:rsid w:val="000311E9"/>
    <w:rsid w:val="00240024"/>
    <w:rsid w:val="002A5BF4"/>
    <w:rsid w:val="005A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34818-41AC-44F8-8B6B-6A65452C2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2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2160</Words>
  <Characters>12318</Characters>
  <Application>Microsoft Office Word</Application>
  <DocSecurity>0</DocSecurity>
  <Lines>102</Lines>
  <Paragraphs>28</Paragraphs>
  <ScaleCrop>false</ScaleCrop>
  <Company/>
  <LinksUpToDate>false</LinksUpToDate>
  <CharactersWithSpaces>14450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Олеговна Вьюнник</dc:creator>
  <cp:keywords/>
  <dc:description/>
  <cp:lastModifiedBy>Татьяна Олеговна Вьюнник</cp:lastModifiedBy>
  <cp:revision>3</cp:revision>
  <dcterms:created xsi:type="dcterms:W3CDTF">2019-11-01T12:08:00Z</dcterms:created>
  <dcterms:modified xsi:type="dcterms:W3CDTF">2019-11-01T12:09:00Z</dcterms:modified>
</cp:coreProperties>
</file>